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FE" w:rsidRDefault="00C90280">
      <w:pPr>
        <w:rPr>
          <w:rFonts w:ascii="Arial Unicode MS" w:eastAsia="Arial Unicode MS" w:hAnsi="Arial Unicode MS" w:cs="Arial Unicode MS"/>
        </w:rPr>
      </w:pPr>
      <w:bookmarkStart w:id="0" w:name="_GoBack"/>
      <w:bookmarkEnd w:id="0"/>
      <w:r w:rsidRPr="00370833">
        <w:rPr>
          <w:rFonts w:ascii="Arial Unicode MS" w:eastAsia="Arial Unicode MS" w:hAnsi="Arial Unicode MS" w:cs="Arial Unicode MS"/>
          <w:noProof/>
          <w:lang w:eastAsia="et-EE"/>
        </w:rPr>
        <w:drawing>
          <wp:anchor distT="0" distB="0" distL="114300" distR="114300" simplePos="0" relativeHeight="251658240" behindDoc="1" locked="1" layoutInCell="1" allowOverlap="1" wp14:anchorId="551C030D" wp14:editId="088A36AB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52800" cy="1584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v_kirjaplank_p6hi_1602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833" w:rsidRPr="00370833">
        <w:rPr>
          <w:rFonts w:ascii="Arial Unicode MS" w:eastAsia="Arial Unicode MS" w:hAnsi="Arial Unicode MS" w:cs="Arial Unicode MS"/>
        </w:rPr>
        <w:t xml:space="preserve"> </w:t>
      </w:r>
    </w:p>
    <w:p w:rsidR="00755BFE" w:rsidRDefault="00755BFE" w:rsidP="00755BFE">
      <w:pPr>
        <w:rPr>
          <w:rFonts w:ascii="Arial Unicode MS" w:eastAsia="Arial Unicode MS" w:hAnsi="Arial Unicode MS" w:cs="Arial Unicode MS"/>
        </w:rPr>
      </w:pPr>
    </w:p>
    <w:p w:rsidR="00345533" w:rsidRDefault="00345533" w:rsidP="00755BFE">
      <w:pPr>
        <w:tabs>
          <w:tab w:val="left" w:pos="2060"/>
        </w:tabs>
        <w:rPr>
          <w:rFonts w:ascii="Arial Unicode MS" w:eastAsia="Arial Unicode MS" w:hAnsi="Arial Unicode MS" w:cs="Arial Unicode MS"/>
        </w:rPr>
      </w:pPr>
    </w:p>
    <w:p w:rsidR="00345533" w:rsidRDefault="00345533" w:rsidP="00755BFE">
      <w:pPr>
        <w:tabs>
          <w:tab w:val="left" w:pos="2060"/>
        </w:tabs>
        <w:rPr>
          <w:rFonts w:ascii="Arial Unicode MS" w:eastAsia="Arial Unicode MS" w:hAnsi="Arial Unicode MS" w:cs="Arial Unicode MS"/>
        </w:rPr>
      </w:pPr>
    </w:p>
    <w:p w:rsidR="00010E86" w:rsidRPr="00010E86" w:rsidRDefault="00010E86" w:rsidP="00010E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Pr="00010E86">
        <w:rPr>
          <w:rFonts w:ascii="Arial" w:hAnsi="Arial" w:cs="Arial"/>
          <w:color w:val="000000"/>
          <w:sz w:val="24"/>
          <w:szCs w:val="24"/>
        </w:rPr>
        <w:t>aanteeamet</w:t>
      </w:r>
    </w:p>
    <w:p w:rsidR="00010E86" w:rsidRPr="00010E86" w:rsidRDefault="00010E86" w:rsidP="00010E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10E86">
        <w:rPr>
          <w:rFonts w:ascii="Arial" w:hAnsi="Arial" w:cs="Arial"/>
          <w:sz w:val="24"/>
          <w:szCs w:val="24"/>
        </w:rPr>
        <w:t>info@mnt.ee</w:t>
      </w:r>
      <w:r w:rsidRPr="00010E86">
        <w:rPr>
          <w:rFonts w:ascii="Arial" w:hAnsi="Arial" w:cs="Arial"/>
          <w:b/>
          <w:color w:val="000000"/>
          <w:sz w:val="24"/>
          <w:szCs w:val="24"/>
        </w:rPr>
        <w:tab/>
      </w:r>
      <w:r w:rsidR="00396DD2">
        <w:rPr>
          <w:rFonts w:ascii="Arial" w:hAnsi="Arial" w:cs="Arial"/>
          <w:color w:val="000000"/>
          <w:sz w:val="24"/>
          <w:szCs w:val="24"/>
        </w:rPr>
        <w:tab/>
      </w:r>
      <w:r w:rsidR="00396DD2">
        <w:rPr>
          <w:rFonts w:ascii="Arial" w:hAnsi="Arial" w:cs="Arial"/>
          <w:color w:val="000000"/>
          <w:sz w:val="24"/>
          <w:szCs w:val="24"/>
        </w:rPr>
        <w:tab/>
      </w:r>
      <w:r w:rsidR="00396DD2">
        <w:rPr>
          <w:rFonts w:ascii="Arial" w:hAnsi="Arial" w:cs="Arial"/>
          <w:color w:val="000000"/>
          <w:sz w:val="24"/>
          <w:szCs w:val="24"/>
        </w:rPr>
        <w:tab/>
      </w:r>
      <w:r w:rsidR="00396DD2">
        <w:rPr>
          <w:rFonts w:ascii="Arial" w:hAnsi="Arial" w:cs="Arial"/>
          <w:color w:val="000000"/>
          <w:sz w:val="24"/>
          <w:szCs w:val="24"/>
        </w:rPr>
        <w:tab/>
      </w:r>
      <w:r w:rsidRPr="00010E86">
        <w:rPr>
          <w:rFonts w:ascii="Arial" w:hAnsi="Arial" w:cs="Arial"/>
          <w:sz w:val="24"/>
          <w:szCs w:val="24"/>
        </w:rPr>
        <w:t>Meie kuupäev digiallkirjas nr 6-1/</w:t>
      </w:r>
      <w:r w:rsidR="00396DD2" w:rsidRPr="00C80E36">
        <w:rPr>
          <w:rFonts w:ascii="Arial" w:hAnsi="Arial" w:cs="Arial"/>
          <w:sz w:val="24"/>
          <w:szCs w:val="24"/>
        </w:rPr>
        <w:t>7888-</w:t>
      </w:r>
      <w:r w:rsidR="000E74C1" w:rsidRPr="00C80E36">
        <w:rPr>
          <w:rFonts w:ascii="Arial" w:hAnsi="Arial" w:cs="Arial"/>
          <w:sz w:val="24"/>
          <w:szCs w:val="24"/>
        </w:rPr>
        <w:t>4</w:t>
      </w:r>
    </w:p>
    <w:p w:rsidR="00010E86" w:rsidRPr="00010E86" w:rsidRDefault="00010E86" w:rsidP="00010E86">
      <w:pPr>
        <w:pStyle w:val="Default"/>
        <w:spacing w:before="120"/>
        <w:rPr>
          <w:rFonts w:ascii="Arial" w:hAnsi="Arial" w:cs="Arial"/>
        </w:rPr>
      </w:pPr>
    </w:p>
    <w:p w:rsidR="00010E86" w:rsidRPr="00010E86" w:rsidRDefault="00010E86" w:rsidP="00010E86">
      <w:pPr>
        <w:spacing w:after="0" w:line="240" w:lineRule="auto"/>
        <w:rPr>
          <w:rFonts w:ascii="Arial" w:eastAsia="Tw Cen MT" w:hAnsi="Arial" w:cs="Arial"/>
          <w:b/>
          <w:sz w:val="24"/>
          <w:szCs w:val="24"/>
        </w:rPr>
      </w:pPr>
      <w:r w:rsidRPr="00010E86">
        <w:rPr>
          <w:rFonts w:ascii="Arial" w:eastAsia="Tw Cen MT" w:hAnsi="Arial" w:cs="Arial"/>
          <w:b/>
          <w:sz w:val="24"/>
          <w:szCs w:val="24"/>
        </w:rPr>
        <w:t>Järveküla Saare kinnistu ja lähiala</w:t>
      </w:r>
    </w:p>
    <w:p w:rsidR="00010E86" w:rsidRPr="00010E86" w:rsidRDefault="00010E86" w:rsidP="00010E86">
      <w:pPr>
        <w:spacing w:after="0" w:line="240" w:lineRule="auto"/>
        <w:rPr>
          <w:rFonts w:ascii="Arial" w:eastAsia="Tw Cen MT" w:hAnsi="Arial" w:cs="Arial"/>
          <w:b/>
          <w:sz w:val="24"/>
          <w:szCs w:val="24"/>
        </w:rPr>
      </w:pPr>
      <w:r w:rsidRPr="00010E86">
        <w:rPr>
          <w:rFonts w:ascii="Arial" w:eastAsia="Tw Cen MT" w:hAnsi="Arial" w:cs="Arial"/>
          <w:b/>
          <w:sz w:val="24"/>
          <w:szCs w:val="24"/>
        </w:rPr>
        <w:t>detailplaneering</w:t>
      </w:r>
      <w:r w:rsidRPr="00010E86">
        <w:rPr>
          <w:rFonts w:ascii="Arial" w:hAnsi="Arial" w:cs="Arial"/>
          <w:b/>
          <w:sz w:val="24"/>
          <w:szCs w:val="24"/>
        </w:rPr>
        <w:t>u kooskõlastamine</w:t>
      </w:r>
    </w:p>
    <w:p w:rsidR="00010E86" w:rsidRPr="00010E86" w:rsidRDefault="00010E86" w:rsidP="00010E86">
      <w:pPr>
        <w:widowControl w:val="0"/>
        <w:tabs>
          <w:tab w:val="left" w:pos="502"/>
          <w:tab w:val="left" w:pos="712"/>
        </w:tabs>
        <w:suppressAutoHyphens/>
        <w:autoSpaceDE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0E86" w:rsidRPr="00010E86" w:rsidRDefault="00D9668B" w:rsidP="00010E86">
      <w:pPr>
        <w:keepNext/>
        <w:tabs>
          <w:tab w:val="left" w:pos="0"/>
          <w:tab w:val="left" w:pos="142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et-EE"/>
        </w:rPr>
      </w:pPr>
      <w:r>
        <w:rPr>
          <w:rFonts w:ascii="Arial" w:eastAsia="Calibri" w:hAnsi="Arial" w:cs="Arial"/>
          <w:sz w:val="24"/>
          <w:szCs w:val="24"/>
        </w:rPr>
        <w:t>E</w:t>
      </w:r>
      <w:r w:rsidR="00010E86" w:rsidRPr="00010E86">
        <w:rPr>
          <w:rFonts w:ascii="Arial" w:eastAsia="Calibri" w:hAnsi="Arial" w:cs="Arial"/>
          <w:sz w:val="24"/>
          <w:szCs w:val="24"/>
        </w:rPr>
        <w:t xml:space="preserve">sitame </w:t>
      </w:r>
      <w:r>
        <w:rPr>
          <w:rFonts w:ascii="Arial" w:eastAsia="Calibri" w:hAnsi="Arial" w:cs="Arial"/>
          <w:sz w:val="24"/>
          <w:szCs w:val="24"/>
        </w:rPr>
        <w:t xml:space="preserve">teistkordseks </w:t>
      </w:r>
      <w:r w:rsidR="00010E86" w:rsidRPr="00010E86">
        <w:rPr>
          <w:rFonts w:ascii="Arial" w:eastAsia="Calibri" w:hAnsi="Arial" w:cs="Arial"/>
          <w:sz w:val="24"/>
          <w:szCs w:val="24"/>
        </w:rPr>
        <w:t xml:space="preserve">kooskõlastamiseks </w:t>
      </w:r>
      <w:r w:rsidR="00010E86" w:rsidRPr="00010E86">
        <w:rPr>
          <w:rFonts w:ascii="Arial" w:hAnsi="Arial" w:cs="Arial"/>
          <w:sz w:val="24"/>
          <w:szCs w:val="24"/>
        </w:rPr>
        <w:t xml:space="preserve">Rae Vallavolikogu </w:t>
      </w:r>
      <w:r w:rsidR="00010E86" w:rsidRPr="00010E86">
        <w:rPr>
          <w:rFonts w:ascii="Arial" w:eastAsia="Arial" w:hAnsi="Arial" w:cs="Arial"/>
          <w:sz w:val="24"/>
          <w:szCs w:val="24"/>
        </w:rPr>
        <w:t xml:space="preserve">21.06.2016 otsusega nr 159 </w:t>
      </w:r>
      <w:r w:rsidR="00010E86" w:rsidRPr="00010E86">
        <w:rPr>
          <w:rFonts w:ascii="Arial" w:hAnsi="Arial" w:cs="Arial"/>
          <w:sz w:val="24"/>
          <w:szCs w:val="24"/>
        </w:rPr>
        <w:t>algatatud Järveküla Saare kinnistu ja lähiala detailplaneeringu.</w:t>
      </w:r>
      <w:r w:rsidR="00010E86" w:rsidRPr="00010E86">
        <w:rPr>
          <w:rFonts w:ascii="Arial" w:eastAsia="Calibri" w:hAnsi="Arial" w:cs="Arial"/>
          <w:sz w:val="24"/>
          <w:szCs w:val="24"/>
        </w:rPr>
        <w:t xml:space="preserve"> </w:t>
      </w:r>
    </w:p>
    <w:p w:rsidR="00007AFC" w:rsidRDefault="00DB70AA" w:rsidP="00010E86">
      <w:pPr>
        <w:widowControl w:val="0"/>
        <w:suppressAutoHyphens/>
        <w:autoSpaceDE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Maanteeameti poolt kirjas nr 15-2/16-00032/695 nimetatud täpsustused ja täiendused on detailplaneeringu materjali sisse viidud.</w:t>
      </w:r>
    </w:p>
    <w:p w:rsidR="00DB70AA" w:rsidRDefault="00DB70AA" w:rsidP="00DB70AA">
      <w:pPr>
        <w:pStyle w:val="Loendilik"/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Riigi teega seotud liikluslahendus on kantud aktuaalsele geodeetilisele alusplaanile.</w:t>
      </w:r>
    </w:p>
    <w:p w:rsidR="00DB70AA" w:rsidRDefault="00DB70AA" w:rsidP="00DB70AA">
      <w:pPr>
        <w:pStyle w:val="Loendilik"/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Sõiduradade, ohutussaarte jt ristmikuelementide mõõdud on lisatud liikluslahenduse joonisele.</w:t>
      </w:r>
    </w:p>
    <w:p w:rsidR="00DB70AA" w:rsidRDefault="00DB70AA" w:rsidP="00DB70AA">
      <w:pPr>
        <w:pStyle w:val="Loendilik"/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Liikluslahenduse joonisele on kantud pöördešabloonid.</w:t>
      </w:r>
    </w:p>
    <w:p w:rsidR="00DB70AA" w:rsidRDefault="00DB70AA" w:rsidP="00DB70AA">
      <w:pPr>
        <w:pStyle w:val="Loendilik"/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Vormistatud on lahendus, mis ei näe detailplaneeringu raames uute bussipeatuste rajamist ette. </w:t>
      </w:r>
    </w:p>
    <w:p w:rsidR="00442402" w:rsidRDefault="00442402" w:rsidP="00DB70AA">
      <w:pPr>
        <w:pStyle w:val="Loendilik"/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Riigiteele on kavandatud peenardega ristlõige.</w:t>
      </w:r>
    </w:p>
    <w:p w:rsidR="00442402" w:rsidRDefault="00442402" w:rsidP="00DB70AA">
      <w:pPr>
        <w:pStyle w:val="Loendilik"/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Detailplaneeringu joonistele on peale kantud olemasolev jalgratta- ja jalgtee ning samuti G.E.O Grupp OÜ poolt projekteeritud kergliiklustee (töö nr P13055).</w:t>
      </w:r>
    </w:p>
    <w:p w:rsidR="00D30EC1" w:rsidRDefault="00D30EC1" w:rsidP="00DB70AA">
      <w:pPr>
        <w:pStyle w:val="Loendilik"/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Turu tee ristumiskoha parameetrite määramisel on arvestatud veokiliiklusega.</w:t>
      </w:r>
    </w:p>
    <w:p w:rsidR="00DB70AA" w:rsidRDefault="00D30EC1" w:rsidP="00D30EC1">
      <w:pPr>
        <w:pStyle w:val="Loendilik"/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30EC1">
        <w:rPr>
          <w:rFonts w:ascii="Arial" w:hAnsi="Arial" w:cs="Arial"/>
          <w:sz w:val="24"/>
          <w:szCs w:val="24"/>
        </w:rPr>
        <w:t xml:space="preserve">Vana-Tartu mnt 75 </w:t>
      </w:r>
      <w:r>
        <w:rPr>
          <w:rFonts w:ascii="Arial" w:hAnsi="Arial" w:cs="Arial"/>
          <w:sz w:val="24"/>
          <w:szCs w:val="24"/>
        </w:rPr>
        <w:t xml:space="preserve">kinnistu </w:t>
      </w:r>
      <w:r w:rsidRPr="00D30EC1">
        <w:rPr>
          <w:rFonts w:ascii="Arial" w:hAnsi="Arial" w:cs="Arial"/>
          <w:sz w:val="24"/>
          <w:szCs w:val="24"/>
        </w:rPr>
        <w:t>mahasõidu puhul on tegemist kehtiva Allika kinnistu detailplaneeringus määratud peasissepääsuga, mida koostatava Saare kinnistu detailplaneeringuga muutma ei hakata.</w:t>
      </w:r>
    </w:p>
    <w:p w:rsidR="00D30EC1" w:rsidRDefault="00D30EC1" w:rsidP="00D30EC1">
      <w:pPr>
        <w:pStyle w:val="Loendilik"/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30EC1">
        <w:rPr>
          <w:rFonts w:ascii="Arial" w:hAnsi="Arial" w:cs="Arial"/>
          <w:sz w:val="24"/>
          <w:szCs w:val="24"/>
        </w:rPr>
        <w:t>Detailplaneeringu</w:t>
      </w:r>
      <w:r>
        <w:rPr>
          <w:rFonts w:ascii="Arial" w:hAnsi="Arial" w:cs="Arial"/>
          <w:sz w:val="24"/>
          <w:szCs w:val="24"/>
        </w:rPr>
        <w:t xml:space="preserve"> seletuskirja p 4.4 alla on lisatud lause „Detailplaneeringu</w:t>
      </w:r>
      <w:r w:rsidRPr="00D30EC1">
        <w:rPr>
          <w:rFonts w:ascii="Arial" w:hAnsi="Arial" w:cs="Arial"/>
          <w:sz w:val="24"/>
          <w:szCs w:val="24"/>
        </w:rPr>
        <w:t xml:space="preserve"> kooseisus on koostatud võimalik perspektiivne liikluslahendus. Lõplik liikluslahendus koostatakse teeprojektiga</w:t>
      </w:r>
      <w:r>
        <w:rPr>
          <w:rFonts w:ascii="Arial" w:hAnsi="Arial" w:cs="Arial"/>
          <w:sz w:val="24"/>
          <w:szCs w:val="24"/>
        </w:rPr>
        <w:t>“.</w:t>
      </w:r>
    </w:p>
    <w:p w:rsidR="00007AFC" w:rsidRPr="00950500" w:rsidRDefault="00950500" w:rsidP="00950500">
      <w:pPr>
        <w:pStyle w:val="Loendilik"/>
        <w:widowControl w:val="0"/>
        <w:numPr>
          <w:ilvl w:val="0"/>
          <w:numId w:val="6"/>
        </w:numPr>
        <w:suppressAutoHyphens/>
        <w:autoSpaceDE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50500">
        <w:rPr>
          <w:rFonts w:ascii="Arial" w:hAnsi="Arial" w:cs="Arial"/>
          <w:sz w:val="24"/>
          <w:szCs w:val="24"/>
        </w:rPr>
        <w:t>Kõik planeeringuga kavandatu jääb planeeringuala sisse. Liikluslahendusele, mis jääb olemasoleva transpordimaa sihtotstarbega kinnistule ning ei vaja täiendava ehitusõiguse planeerimist või kinnistu moodustamist, koostatakse vastav projekt.</w:t>
      </w:r>
    </w:p>
    <w:p w:rsidR="00A81816" w:rsidRDefault="00A81816" w:rsidP="001A6D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6D72" w:rsidRDefault="00FE22B8" w:rsidP="00FE22B8">
      <w:pPr>
        <w:spacing w:after="0"/>
        <w:jc w:val="both"/>
        <w:rPr>
          <w:rFonts w:eastAsia="Times New Roman"/>
        </w:rPr>
      </w:pPr>
      <w:r w:rsidRPr="00FE22B8">
        <w:rPr>
          <w:rFonts w:ascii="Arial" w:hAnsi="Arial" w:cs="Arial"/>
          <w:sz w:val="24"/>
          <w:szCs w:val="24"/>
        </w:rPr>
        <w:t xml:space="preserve">Tuginedes Maanteeameti kirjale nr 15-2/16-00032/742 loodame detailplaneeringu kooskõlastamist ameti poolt kiiremini kui seda näeb ette </w:t>
      </w:r>
      <w:proofErr w:type="spellStart"/>
      <w:r w:rsidRPr="00FE22B8">
        <w:rPr>
          <w:rFonts w:ascii="Arial" w:hAnsi="Arial" w:cs="Arial"/>
          <w:sz w:val="24"/>
          <w:szCs w:val="24"/>
        </w:rPr>
        <w:t>PlanS</w:t>
      </w:r>
      <w:proofErr w:type="spellEnd"/>
      <w:r w:rsidRPr="00FE22B8">
        <w:rPr>
          <w:rFonts w:ascii="Arial" w:hAnsi="Arial" w:cs="Arial"/>
          <w:sz w:val="24"/>
          <w:szCs w:val="24"/>
        </w:rPr>
        <w:t xml:space="preserve"> § 133 lg 2.</w:t>
      </w:r>
    </w:p>
    <w:p w:rsidR="001A6D72" w:rsidRDefault="001A6D72" w:rsidP="00010E86">
      <w:pPr>
        <w:spacing w:after="0" w:line="240" w:lineRule="auto"/>
        <w:rPr>
          <w:rFonts w:eastAsia="Times New Roman"/>
        </w:rPr>
      </w:pPr>
    </w:p>
    <w:p w:rsidR="00010E86" w:rsidRPr="00010E86" w:rsidRDefault="00010E86" w:rsidP="00010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E86">
        <w:rPr>
          <w:rFonts w:ascii="Arial" w:hAnsi="Arial" w:cs="Arial"/>
          <w:sz w:val="24"/>
          <w:szCs w:val="24"/>
        </w:rPr>
        <w:t>Lugupidamisega</w:t>
      </w:r>
    </w:p>
    <w:p w:rsidR="00010E86" w:rsidRPr="00010E86" w:rsidRDefault="00010E86" w:rsidP="00010E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0E86" w:rsidRPr="00010E86" w:rsidRDefault="00010E86" w:rsidP="00010E8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010E86">
        <w:rPr>
          <w:rFonts w:ascii="Arial" w:hAnsi="Arial" w:cs="Arial"/>
          <w:i/>
          <w:color w:val="000000" w:themeColor="text1"/>
          <w:sz w:val="24"/>
          <w:szCs w:val="24"/>
        </w:rPr>
        <w:t xml:space="preserve"> /allkirjastatud digitaalselt/</w:t>
      </w:r>
    </w:p>
    <w:p w:rsidR="00010E86" w:rsidRPr="00010E86" w:rsidRDefault="00010E86" w:rsidP="00010E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0E86" w:rsidRPr="00010E86" w:rsidRDefault="00010E86" w:rsidP="00010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0E86">
        <w:rPr>
          <w:rFonts w:ascii="Arial" w:hAnsi="Arial" w:cs="Arial"/>
          <w:sz w:val="24"/>
          <w:szCs w:val="24"/>
        </w:rPr>
        <w:t>Priit Põldmäe</w:t>
      </w:r>
    </w:p>
    <w:p w:rsidR="00010E86" w:rsidRPr="00010E86" w:rsidRDefault="00010E86" w:rsidP="00010E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0E86">
        <w:rPr>
          <w:rFonts w:ascii="Arial" w:hAnsi="Arial" w:cs="Arial"/>
          <w:sz w:val="24"/>
          <w:szCs w:val="24"/>
        </w:rPr>
        <w:lastRenderedPageBreak/>
        <w:t>abivallavanem</w:t>
      </w:r>
    </w:p>
    <w:p w:rsidR="00010E86" w:rsidRPr="00010E86" w:rsidRDefault="00010E86" w:rsidP="00010E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0E86" w:rsidRDefault="00010E86" w:rsidP="00010E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0E86">
        <w:rPr>
          <w:rFonts w:ascii="Arial" w:eastAsia="Times New Roman" w:hAnsi="Arial" w:cs="Arial"/>
          <w:sz w:val="24"/>
          <w:szCs w:val="24"/>
        </w:rPr>
        <w:t>Lisad: Detailplaneeringu materjalid</w:t>
      </w:r>
    </w:p>
    <w:p w:rsidR="00A81816" w:rsidRDefault="00A81816" w:rsidP="00010E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2B8" w:rsidRDefault="00FE22B8" w:rsidP="00FE22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2B8" w:rsidRDefault="00FE22B8" w:rsidP="00FE22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22B8" w:rsidRPr="00FE22B8" w:rsidRDefault="00FE22B8" w:rsidP="00FE22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22B8">
        <w:rPr>
          <w:rFonts w:ascii="Arial" w:eastAsia="Times New Roman" w:hAnsi="Arial" w:cs="Arial"/>
          <w:sz w:val="24"/>
          <w:szCs w:val="24"/>
        </w:rPr>
        <w:t>Kadri Randoja 605 6783</w:t>
      </w:r>
    </w:p>
    <w:p w:rsidR="00010E86" w:rsidRDefault="00FE22B8" w:rsidP="00FE22B8">
      <w:pPr>
        <w:spacing w:after="0" w:line="240" w:lineRule="auto"/>
        <w:rPr>
          <w:rFonts w:eastAsia="Times New Roman"/>
        </w:rPr>
      </w:pPr>
      <w:r w:rsidRPr="00FE22B8">
        <w:rPr>
          <w:rFonts w:ascii="Arial" w:eastAsia="Times New Roman" w:hAnsi="Arial" w:cs="Arial"/>
          <w:sz w:val="24"/>
          <w:szCs w:val="24"/>
        </w:rPr>
        <w:t>kadri.randoja@rae.ee</w:t>
      </w:r>
    </w:p>
    <w:p w:rsidR="009C116E" w:rsidRDefault="009C116E" w:rsidP="009C116E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p w:rsidR="008A6624" w:rsidRDefault="008A6624" w:rsidP="008A6624">
      <w:pPr>
        <w:pStyle w:val="Vahedeta"/>
        <w:ind w:left="720"/>
        <w:jc w:val="both"/>
      </w:pPr>
    </w:p>
    <w:sectPr w:rsidR="008A6624" w:rsidSect="00662616">
      <w:headerReference w:type="even" r:id="rId9"/>
      <w:footerReference w:type="firs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44" w:rsidRDefault="002D4A44" w:rsidP="008244C5">
      <w:pPr>
        <w:spacing w:after="0" w:line="240" w:lineRule="auto"/>
      </w:pPr>
      <w:r>
        <w:separator/>
      </w:r>
    </w:p>
  </w:endnote>
  <w:endnote w:type="continuationSeparator" w:id="0">
    <w:p w:rsidR="002D4A44" w:rsidRDefault="002D4A44" w:rsidP="0082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93" w:rsidRDefault="00790693">
    <w:pPr>
      <w:pStyle w:val="Jalus"/>
    </w:pPr>
    <w:r>
      <w:rPr>
        <w:rFonts w:ascii="Arial Unicode MS" w:eastAsia="Arial Unicode MS" w:hAnsi="Arial Unicode MS" w:cs="Arial Unicode MS"/>
        <w:noProof/>
        <w:lang w:eastAsia="et-EE"/>
      </w:rPr>
      <w:drawing>
        <wp:anchor distT="0" distB="0" distL="114300" distR="114300" simplePos="0" relativeHeight="251657216" behindDoc="1" locked="1" layoutInCell="1" allowOverlap="1" wp14:anchorId="0A295E27" wp14:editId="700DB2B1">
          <wp:simplePos x="0" y="0"/>
          <wp:positionH relativeFrom="page">
            <wp:posOffset>-64135</wp:posOffset>
          </wp:positionH>
          <wp:positionV relativeFrom="bottomMargin">
            <wp:posOffset>40640</wp:posOffset>
          </wp:positionV>
          <wp:extent cx="7581265" cy="902970"/>
          <wp:effectExtent l="0" t="0" r="0" b="11430"/>
          <wp:wrapNone/>
          <wp:docPr id="2" name="Picture 2" descr="Rae_vv_f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e_vv_f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44" w:rsidRDefault="002D4A44" w:rsidP="008244C5">
      <w:pPr>
        <w:spacing w:after="0" w:line="240" w:lineRule="auto"/>
      </w:pPr>
      <w:r>
        <w:separator/>
      </w:r>
    </w:p>
  </w:footnote>
  <w:footnote w:type="continuationSeparator" w:id="0">
    <w:p w:rsidR="002D4A44" w:rsidRDefault="002D4A44" w:rsidP="0082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C5" w:rsidRDefault="00640758">
    <w:pPr>
      <w:pStyle w:val="Pis"/>
    </w:pPr>
    <w:r>
      <w:rPr>
        <w:noProof/>
        <w:lang w:eastAsia="et-EE"/>
      </w:rPr>
      <w:pict w14:anchorId="2954A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192" o:spid="_x0000_s206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rv_kirjaplank_p6hi_1602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FA3"/>
    <w:multiLevelType w:val="hybridMultilevel"/>
    <w:tmpl w:val="C472E132"/>
    <w:lvl w:ilvl="0" w:tplc="DBF023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97D9D"/>
    <w:multiLevelType w:val="hybridMultilevel"/>
    <w:tmpl w:val="C550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B3115"/>
    <w:multiLevelType w:val="hybridMultilevel"/>
    <w:tmpl w:val="A45837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E5542"/>
    <w:multiLevelType w:val="hybridMultilevel"/>
    <w:tmpl w:val="2458BC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B404D"/>
    <w:multiLevelType w:val="hybridMultilevel"/>
    <w:tmpl w:val="3F02821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C5"/>
    <w:rsid w:val="00007AFC"/>
    <w:rsid w:val="00010E86"/>
    <w:rsid w:val="000314F6"/>
    <w:rsid w:val="00047855"/>
    <w:rsid w:val="00061217"/>
    <w:rsid w:val="00062367"/>
    <w:rsid w:val="000949AE"/>
    <w:rsid w:val="000E74C1"/>
    <w:rsid w:val="000E7B00"/>
    <w:rsid w:val="000F40D2"/>
    <w:rsid w:val="000F5409"/>
    <w:rsid w:val="00116425"/>
    <w:rsid w:val="00126B86"/>
    <w:rsid w:val="001A6D72"/>
    <w:rsid w:val="001C0B41"/>
    <w:rsid w:val="001C4EB1"/>
    <w:rsid w:val="001D34A6"/>
    <w:rsid w:val="002300C5"/>
    <w:rsid w:val="002860C6"/>
    <w:rsid w:val="002866F9"/>
    <w:rsid w:val="002B37EB"/>
    <w:rsid w:val="002D4A44"/>
    <w:rsid w:val="002E3AAA"/>
    <w:rsid w:val="002F3CCA"/>
    <w:rsid w:val="00345533"/>
    <w:rsid w:val="00355F8F"/>
    <w:rsid w:val="00370833"/>
    <w:rsid w:val="00396DD2"/>
    <w:rsid w:val="003B0DB2"/>
    <w:rsid w:val="003C1F9F"/>
    <w:rsid w:val="00442402"/>
    <w:rsid w:val="00452A50"/>
    <w:rsid w:val="004C2289"/>
    <w:rsid w:val="004D70C3"/>
    <w:rsid w:val="005075D8"/>
    <w:rsid w:val="005103DC"/>
    <w:rsid w:val="00530DD7"/>
    <w:rsid w:val="00573EB0"/>
    <w:rsid w:val="006301F8"/>
    <w:rsid w:val="00640758"/>
    <w:rsid w:val="00642D2E"/>
    <w:rsid w:val="00662616"/>
    <w:rsid w:val="006E0B41"/>
    <w:rsid w:val="006E3579"/>
    <w:rsid w:val="007109AA"/>
    <w:rsid w:val="00747E48"/>
    <w:rsid w:val="00755BFE"/>
    <w:rsid w:val="00780B10"/>
    <w:rsid w:val="00790693"/>
    <w:rsid w:val="008244C5"/>
    <w:rsid w:val="008818E1"/>
    <w:rsid w:val="00885D07"/>
    <w:rsid w:val="008A6624"/>
    <w:rsid w:val="00925B78"/>
    <w:rsid w:val="0093134E"/>
    <w:rsid w:val="00932332"/>
    <w:rsid w:val="00950500"/>
    <w:rsid w:val="0098038E"/>
    <w:rsid w:val="009C116E"/>
    <w:rsid w:val="00A81816"/>
    <w:rsid w:val="00AA7651"/>
    <w:rsid w:val="00AD42CB"/>
    <w:rsid w:val="00AD6AE9"/>
    <w:rsid w:val="00AF5DCA"/>
    <w:rsid w:val="00B065B8"/>
    <w:rsid w:val="00B269C3"/>
    <w:rsid w:val="00B41ADE"/>
    <w:rsid w:val="00B431B9"/>
    <w:rsid w:val="00B6604F"/>
    <w:rsid w:val="00B67422"/>
    <w:rsid w:val="00B83796"/>
    <w:rsid w:val="00B86EF3"/>
    <w:rsid w:val="00BA2216"/>
    <w:rsid w:val="00BE3649"/>
    <w:rsid w:val="00C452C2"/>
    <w:rsid w:val="00C80E36"/>
    <w:rsid w:val="00C90280"/>
    <w:rsid w:val="00CA0A45"/>
    <w:rsid w:val="00CE7C30"/>
    <w:rsid w:val="00CF6CCB"/>
    <w:rsid w:val="00D06C12"/>
    <w:rsid w:val="00D20789"/>
    <w:rsid w:val="00D30EC1"/>
    <w:rsid w:val="00D8571F"/>
    <w:rsid w:val="00D86710"/>
    <w:rsid w:val="00D9668B"/>
    <w:rsid w:val="00DB70AA"/>
    <w:rsid w:val="00DD208C"/>
    <w:rsid w:val="00E1507E"/>
    <w:rsid w:val="00E16AE0"/>
    <w:rsid w:val="00E67760"/>
    <w:rsid w:val="00E74B13"/>
    <w:rsid w:val="00E874E3"/>
    <w:rsid w:val="00EA66C9"/>
    <w:rsid w:val="00EC66DC"/>
    <w:rsid w:val="00EE339C"/>
    <w:rsid w:val="00F10469"/>
    <w:rsid w:val="00F13098"/>
    <w:rsid w:val="00F32A89"/>
    <w:rsid w:val="00F37464"/>
    <w:rsid w:val="00F76378"/>
    <w:rsid w:val="00F91EF9"/>
    <w:rsid w:val="00F94539"/>
    <w:rsid w:val="00F958B4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028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Loendilik">
    <w:name w:val="List Paragraph"/>
    <w:basedOn w:val="Normaallaad"/>
    <w:uiPriority w:val="34"/>
    <w:qFormat/>
    <w:rsid w:val="00E677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49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0949A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C0B41"/>
    <w:rPr>
      <w:color w:val="0563C1" w:themeColor="hyperlink"/>
      <w:u w:val="single"/>
    </w:rPr>
  </w:style>
  <w:style w:type="paragraph" w:customStyle="1" w:styleId="Default">
    <w:name w:val="Default"/>
    <w:rsid w:val="00010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028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Loendilik">
    <w:name w:val="List Paragraph"/>
    <w:basedOn w:val="Normaallaad"/>
    <w:uiPriority w:val="34"/>
    <w:qFormat/>
    <w:rsid w:val="00E677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49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0949A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C0B41"/>
    <w:rPr>
      <w:color w:val="0563C1" w:themeColor="hyperlink"/>
      <w:u w:val="single"/>
    </w:rPr>
  </w:style>
  <w:style w:type="paragraph" w:customStyle="1" w:styleId="Default">
    <w:name w:val="Default"/>
    <w:rsid w:val="00010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Sharker</dc:creator>
  <cp:lastModifiedBy>Kadri Randoja</cp:lastModifiedBy>
  <cp:revision>2</cp:revision>
  <dcterms:created xsi:type="dcterms:W3CDTF">2017-01-13T09:51:00Z</dcterms:created>
  <dcterms:modified xsi:type="dcterms:W3CDTF">2017-01-13T09:51:00Z</dcterms:modified>
</cp:coreProperties>
</file>