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F51D" w14:textId="1E4BCDE8" w:rsidR="00310A2A" w:rsidRDefault="00BE433A" w:rsidP="00043E77">
      <w:pPr>
        <w:pStyle w:val="Pealkiri2"/>
      </w:pPr>
      <w:r>
        <w:t>Suur-Sõjamäe tn 60</w:t>
      </w:r>
      <w:r w:rsidR="009F6688">
        <w:t xml:space="preserve"> kinnistu ja lähiala detailplaneeringu (DP1</w:t>
      </w:r>
      <w:r>
        <w:t>1</w:t>
      </w:r>
      <w:r w:rsidR="009F6688">
        <w:t>8</w:t>
      </w:r>
      <w:r>
        <w:t>0</w:t>
      </w:r>
      <w:r w:rsidR="009F6688">
        <w:t>) I</w:t>
      </w:r>
      <w:r w:rsidR="00EE10FB">
        <w:t>I</w:t>
      </w:r>
      <w:r w:rsidR="00FB7DA8">
        <w:t>I</w:t>
      </w:r>
      <w:r w:rsidR="009F6688">
        <w:t xml:space="preserve"> läbivaatusringi märkused</w:t>
      </w:r>
      <w:r w:rsidR="00D72814">
        <w:t xml:space="preserve"> ja nendega arvestamine</w:t>
      </w:r>
      <w:r w:rsidR="009F6688">
        <w:t>:</w:t>
      </w:r>
    </w:p>
    <w:p w14:paraId="5B1C523B" w14:textId="77777777" w:rsidR="00E46248" w:rsidRDefault="00E46248" w:rsidP="00B03DFF">
      <w:pPr>
        <w:spacing w:after="0"/>
        <w:jc w:val="both"/>
      </w:pPr>
    </w:p>
    <w:p w14:paraId="593FC8BB" w14:textId="022D0C73" w:rsidR="00E46248" w:rsidRDefault="00E46248" w:rsidP="00B03DFF">
      <w:pPr>
        <w:spacing w:after="0"/>
        <w:jc w:val="both"/>
        <w:rPr>
          <w:b/>
          <w:bCs/>
        </w:rPr>
      </w:pPr>
      <w:r>
        <w:rPr>
          <w:b/>
          <w:bCs/>
        </w:rPr>
        <w:t>Aili Tammaru</w:t>
      </w:r>
      <w:r w:rsidRPr="009F6688">
        <w:rPr>
          <w:b/>
          <w:bCs/>
        </w:rPr>
        <w:t xml:space="preserve"> – planeeringute </w:t>
      </w:r>
      <w:r>
        <w:rPr>
          <w:b/>
          <w:bCs/>
        </w:rPr>
        <w:t>arhitekt</w:t>
      </w:r>
      <w:r w:rsidRPr="009F6688">
        <w:rPr>
          <w:b/>
          <w:bCs/>
        </w:rPr>
        <w:t>:</w:t>
      </w:r>
    </w:p>
    <w:p w14:paraId="0CD4729D" w14:textId="77777777" w:rsidR="00CB2C62" w:rsidRDefault="00CB2C62" w:rsidP="00B03DFF">
      <w:pPr>
        <w:spacing w:after="0"/>
        <w:jc w:val="both"/>
      </w:pPr>
    </w:p>
    <w:p w14:paraId="3A147278" w14:textId="66A25395" w:rsidR="00FB7DA8" w:rsidRDefault="00FB7DA8" w:rsidP="00B03DFF">
      <w:pPr>
        <w:spacing w:after="0"/>
        <w:jc w:val="both"/>
      </w:pPr>
      <w:r w:rsidRPr="00FB7DA8">
        <w:t>Kooskõlastan</w:t>
      </w:r>
    </w:p>
    <w:p w14:paraId="5A6EE605" w14:textId="77777777" w:rsidR="00FB7DA8" w:rsidRDefault="00FB7DA8" w:rsidP="00B03DFF">
      <w:pPr>
        <w:spacing w:after="0"/>
        <w:jc w:val="both"/>
      </w:pPr>
    </w:p>
    <w:p w14:paraId="42FE9800" w14:textId="5F9BDEF6" w:rsidR="00E821D4" w:rsidRDefault="00E821D4" w:rsidP="00B03DFF">
      <w:pPr>
        <w:spacing w:after="0"/>
        <w:jc w:val="both"/>
        <w:rPr>
          <w:b/>
          <w:bCs/>
        </w:rPr>
      </w:pPr>
      <w:r>
        <w:rPr>
          <w:b/>
          <w:bCs/>
        </w:rPr>
        <w:t>Õnne Kask</w:t>
      </w:r>
      <w:r w:rsidRPr="009F6688">
        <w:rPr>
          <w:b/>
          <w:bCs/>
        </w:rPr>
        <w:t xml:space="preserve"> – </w:t>
      </w:r>
      <w:r>
        <w:rPr>
          <w:b/>
          <w:bCs/>
        </w:rPr>
        <w:t>liikuvus</w:t>
      </w:r>
      <w:r w:rsidRPr="009F6688">
        <w:rPr>
          <w:b/>
          <w:bCs/>
        </w:rPr>
        <w:t>spetsialist:</w:t>
      </w:r>
    </w:p>
    <w:p w14:paraId="0B265F02" w14:textId="77777777" w:rsidR="00E821D4" w:rsidRDefault="00E821D4" w:rsidP="00B03DFF">
      <w:pPr>
        <w:spacing w:after="0"/>
        <w:jc w:val="both"/>
      </w:pPr>
    </w:p>
    <w:p w14:paraId="3C4036B8" w14:textId="74C262FE" w:rsidR="00EE10FB" w:rsidRPr="00582ED0" w:rsidRDefault="00FB7DA8" w:rsidP="00EE10FB">
      <w:pPr>
        <w:spacing w:after="0"/>
        <w:jc w:val="both"/>
        <w:rPr>
          <w:i/>
          <w:iCs/>
        </w:rPr>
      </w:pPr>
      <w:r w:rsidRPr="00FB7DA8">
        <w:t>Kooskõlastatud 05.09.2024</w:t>
      </w:r>
    </w:p>
    <w:p w14:paraId="4FD512D4" w14:textId="77777777" w:rsidR="00EE10FB" w:rsidRDefault="00EE10FB" w:rsidP="00B03DFF">
      <w:pPr>
        <w:spacing w:after="0"/>
        <w:jc w:val="both"/>
      </w:pPr>
    </w:p>
    <w:p w14:paraId="205C089F" w14:textId="198A7B11" w:rsidR="00E821D4" w:rsidRDefault="00424471" w:rsidP="00B03DFF">
      <w:pPr>
        <w:spacing w:after="0"/>
        <w:jc w:val="both"/>
        <w:rPr>
          <w:b/>
          <w:bCs/>
        </w:rPr>
      </w:pPr>
      <w:proofErr w:type="spellStart"/>
      <w:r>
        <w:rPr>
          <w:b/>
          <w:bCs/>
        </w:rPr>
        <w:t>Gerthard</w:t>
      </w:r>
      <w:proofErr w:type="spellEnd"/>
      <w:r>
        <w:rPr>
          <w:b/>
          <w:bCs/>
        </w:rPr>
        <w:t xml:space="preserve"> </w:t>
      </w:r>
      <w:proofErr w:type="spellStart"/>
      <w:r>
        <w:rPr>
          <w:b/>
          <w:bCs/>
        </w:rPr>
        <w:t>Tints</w:t>
      </w:r>
      <w:proofErr w:type="spellEnd"/>
      <w:r w:rsidR="00E821D4" w:rsidRPr="009F6688">
        <w:rPr>
          <w:b/>
          <w:bCs/>
        </w:rPr>
        <w:t xml:space="preserve"> – </w:t>
      </w:r>
      <w:proofErr w:type="spellStart"/>
      <w:r>
        <w:rPr>
          <w:b/>
          <w:bCs/>
        </w:rPr>
        <w:t>teede</w:t>
      </w:r>
      <w:r w:rsidR="00E821D4" w:rsidRPr="009F6688">
        <w:rPr>
          <w:b/>
          <w:bCs/>
        </w:rPr>
        <w:t>spetsialist</w:t>
      </w:r>
      <w:proofErr w:type="spellEnd"/>
      <w:r w:rsidR="00E821D4" w:rsidRPr="009F6688">
        <w:rPr>
          <w:b/>
          <w:bCs/>
        </w:rPr>
        <w:t>:</w:t>
      </w:r>
    </w:p>
    <w:p w14:paraId="4D3B5196" w14:textId="77777777" w:rsidR="00582ED0" w:rsidRDefault="00582ED0" w:rsidP="00582ED0">
      <w:pPr>
        <w:spacing w:after="0"/>
        <w:jc w:val="both"/>
      </w:pPr>
    </w:p>
    <w:p w14:paraId="75F2F2E9" w14:textId="452809AC" w:rsidR="005C2854" w:rsidRDefault="00FB7DA8" w:rsidP="00582ED0">
      <w:pPr>
        <w:spacing w:after="0"/>
        <w:jc w:val="both"/>
      </w:pPr>
      <w:r w:rsidRPr="00FB7DA8">
        <w:t>Kooskõlastatud 01.04.2024</w:t>
      </w:r>
    </w:p>
    <w:p w14:paraId="76001563" w14:textId="77777777" w:rsidR="00EE10FB" w:rsidRDefault="00EE10FB" w:rsidP="00582ED0">
      <w:pPr>
        <w:spacing w:after="0"/>
        <w:jc w:val="both"/>
      </w:pPr>
    </w:p>
    <w:p w14:paraId="7485D563" w14:textId="1A1900CD" w:rsidR="00EE10FB" w:rsidRDefault="00EE10FB" w:rsidP="00582ED0">
      <w:pPr>
        <w:spacing w:after="0"/>
        <w:jc w:val="both"/>
        <w:rPr>
          <w:b/>
          <w:bCs/>
        </w:rPr>
      </w:pPr>
      <w:r>
        <w:rPr>
          <w:b/>
          <w:bCs/>
        </w:rPr>
        <w:t>Astrid Promet</w:t>
      </w:r>
      <w:r w:rsidRPr="009F6688">
        <w:rPr>
          <w:b/>
          <w:bCs/>
        </w:rPr>
        <w:t xml:space="preserve"> – planeeringute </w:t>
      </w:r>
      <w:r>
        <w:rPr>
          <w:b/>
          <w:bCs/>
        </w:rPr>
        <w:t>spetsialist</w:t>
      </w:r>
      <w:r w:rsidRPr="009F6688">
        <w:rPr>
          <w:b/>
          <w:bCs/>
        </w:rPr>
        <w:t>:</w:t>
      </w:r>
    </w:p>
    <w:p w14:paraId="33222212" w14:textId="77777777" w:rsidR="00BF2118" w:rsidRPr="00BF2118" w:rsidRDefault="00BF2118" w:rsidP="00582ED0">
      <w:pPr>
        <w:spacing w:after="0"/>
        <w:jc w:val="both"/>
        <w:rPr>
          <w:b/>
          <w:bCs/>
        </w:rPr>
      </w:pPr>
    </w:p>
    <w:p w14:paraId="5F50E0DA" w14:textId="40D72726" w:rsidR="00BF2118" w:rsidRDefault="00FB7DA8" w:rsidP="00FB7DA8">
      <w:pPr>
        <w:spacing w:after="0"/>
        <w:jc w:val="both"/>
      </w:pPr>
      <w:r w:rsidRPr="00FB7DA8">
        <w:t>Kooskõlastan</w:t>
      </w:r>
    </w:p>
    <w:p w14:paraId="05D0B37A" w14:textId="77777777" w:rsidR="00FB7DA8" w:rsidRDefault="00FB7DA8" w:rsidP="00FB7DA8">
      <w:pPr>
        <w:spacing w:after="0"/>
        <w:jc w:val="both"/>
      </w:pPr>
    </w:p>
    <w:p w14:paraId="3FBDC8C6" w14:textId="4EC5264A" w:rsidR="00FB7DA8" w:rsidRDefault="00FB7DA8" w:rsidP="00FB7DA8">
      <w:pPr>
        <w:spacing w:after="0"/>
        <w:jc w:val="both"/>
        <w:rPr>
          <w:b/>
          <w:bCs/>
        </w:rPr>
      </w:pPr>
      <w:proofErr w:type="spellStart"/>
      <w:r w:rsidRPr="00FB7DA8">
        <w:rPr>
          <w:b/>
          <w:bCs/>
        </w:rPr>
        <w:t>Mairika</w:t>
      </w:r>
      <w:proofErr w:type="spellEnd"/>
      <w:r w:rsidRPr="00FB7DA8">
        <w:rPr>
          <w:b/>
          <w:bCs/>
        </w:rPr>
        <w:t xml:space="preserve"> Marist</w:t>
      </w:r>
      <w:r w:rsidRPr="009F6688">
        <w:rPr>
          <w:b/>
          <w:bCs/>
        </w:rPr>
        <w:t xml:space="preserve"> – </w:t>
      </w:r>
      <w:r w:rsidRPr="00FB7DA8">
        <w:rPr>
          <w:b/>
          <w:bCs/>
        </w:rPr>
        <w:t>tee- ja tehnovõrkude spetsialist</w:t>
      </w:r>
      <w:r>
        <w:rPr>
          <w:b/>
          <w:bCs/>
        </w:rPr>
        <w:t>:</w:t>
      </w:r>
    </w:p>
    <w:p w14:paraId="40818ECF" w14:textId="77777777" w:rsidR="00FB7DA8" w:rsidRDefault="00FB7DA8" w:rsidP="00FB7DA8">
      <w:pPr>
        <w:spacing w:after="0"/>
        <w:jc w:val="both"/>
        <w:rPr>
          <w:b/>
          <w:bCs/>
        </w:rPr>
      </w:pPr>
    </w:p>
    <w:p w14:paraId="1E239E5E" w14:textId="77777777" w:rsidR="00FB7DA8" w:rsidRDefault="00FB7DA8" w:rsidP="00FB7DA8">
      <w:pPr>
        <w:pStyle w:val="Loendilik"/>
        <w:numPr>
          <w:ilvl w:val="0"/>
          <w:numId w:val="6"/>
        </w:numPr>
        <w:spacing w:after="0"/>
        <w:jc w:val="both"/>
      </w:pPr>
      <w:r>
        <w:t>Asendiplaanidel korrigeerida kruntide kasutamise tingimuste tabelis ära hoonete ehitisealune pind, kuna ehitisealuse pinna sisse lähevad ka rajatised (nt varjualused jne), seetõttu tuleb sõna hoone asendada sõnaga ehitis (ehitiste ehitisealune pind).</w:t>
      </w:r>
    </w:p>
    <w:p w14:paraId="26BC0586" w14:textId="77777777" w:rsidR="00C16A62" w:rsidRDefault="00F11507" w:rsidP="00FB7DA8">
      <w:pPr>
        <w:pStyle w:val="Loendilik"/>
        <w:spacing w:after="0"/>
        <w:ind w:left="360"/>
        <w:jc w:val="both"/>
        <w:rPr>
          <w:i/>
          <w:iCs/>
        </w:rPr>
      </w:pPr>
      <w:r w:rsidRPr="00CA4FE9">
        <w:rPr>
          <w:i/>
          <w:iCs/>
        </w:rPr>
        <w:t xml:space="preserve">Vastus: Ettepanekuga </w:t>
      </w:r>
      <w:r>
        <w:rPr>
          <w:i/>
          <w:iCs/>
        </w:rPr>
        <w:t>ei ole</w:t>
      </w:r>
      <w:r w:rsidRPr="00CA4FE9">
        <w:rPr>
          <w:i/>
          <w:iCs/>
        </w:rPr>
        <w:t xml:space="preserve"> arvestatud.</w:t>
      </w:r>
      <w:r>
        <w:rPr>
          <w:i/>
          <w:iCs/>
        </w:rPr>
        <w:t xml:space="preserve"> Planeerimisseaduse § 126 lg 4 sätestab krundi ehitusõiguse </w:t>
      </w:r>
      <w:r w:rsidR="00C16A62">
        <w:rPr>
          <w:i/>
          <w:iCs/>
        </w:rPr>
        <w:t xml:space="preserve">komponendid, milleks punkti 3 kohaselt on </w:t>
      </w:r>
      <w:r w:rsidR="00C16A62" w:rsidRPr="00C16A62">
        <w:rPr>
          <w:i/>
          <w:iCs/>
        </w:rPr>
        <w:t>hoonete või olulise avaliku huviga rajatiste suurim lubatud ehitisealune pind</w:t>
      </w:r>
      <w:r w:rsidR="00C16A62">
        <w:rPr>
          <w:i/>
          <w:iCs/>
        </w:rPr>
        <w:t>.</w:t>
      </w:r>
    </w:p>
    <w:p w14:paraId="0F1F0872" w14:textId="77777777" w:rsidR="00C16A62" w:rsidRDefault="00C16A62" w:rsidP="00FB7DA8">
      <w:pPr>
        <w:pStyle w:val="Loendilik"/>
        <w:spacing w:after="0"/>
        <w:ind w:left="360"/>
        <w:jc w:val="both"/>
        <w:rPr>
          <w:i/>
          <w:iCs/>
        </w:rPr>
      </w:pPr>
      <w:r w:rsidRPr="00C16A62">
        <w:rPr>
          <w:i/>
          <w:iCs/>
        </w:rPr>
        <w:t>Seadusandja ei ole olulise avaliku huviga rajatisele andnud legaaldefinitsiooni, see on määratlemata õigusmõiste, mis tuleb kohalikul omavalitusel kui planeerimislase tegevuse korraldajal igakordselt sisustada.</w:t>
      </w:r>
      <w:r>
        <w:rPr>
          <w:i/>
          <w:iCs/>
        </w:rPr>
        <w:t xml:space="preserve"> Küll aga annab p</w:t>
      </w:r>
      <w:r w:rsidRPr="00C16A62">
        <w:rPr>
          <w:i/>
          <w:iCs/>
        </w:rPr>
        <w:t>laneerimisseaduse eelnõu juurde koostatud seletuskiri viidatud sättele selgituse, et olulise avaliku huviga rajatis on ehitis, millest tulenev mõju ulatub mitmele kinnisasjale, mille ehitamise osas on suur avalik huvi või millest võib tõusetuda kõrgendatud oht. Samuti saab olulist avalikku huvi eeldada suure külastajate hulgaga ehitiste puhul.</w:t>
      </w:r>
      <w:r>
        <w:rPr>
          <w:i/>
          <w:iCs/>
        </w:rPr>
        <w:t xml:space="preserve"> Sellisteks </w:t>
      </w:r>
      <w:r w:rsidRPr="00C16A62">
        <w:rPr>
          <w:i/>
          <w:iCs/>
        </w:rPr>
        <w:t>olulise avaliku huviga rajatis</w:t>
      </w:r>
      <w:r>
        <w:rPr>
          <w:i/>
          <w:iCs/>
        </w:rPr>
        <w:t>teks võivad olla</w:t>
      </w:r>
      <w:r w:rsidRPr="00C16A62">
        <w:rPr>
          <w:i/>
          <w:iCs/>
        </w:rPr>
        <w:t xml:space="preserve"> näiteks staadion, golfiväljak, laululava, motoringra</w:t>
      </w:r>
      <w:r>
        <w:rPr>
          <w:i/>
          <w:iCs/>
        </w:rPr>
        <w:t>d</w:t>
      </w:r>
      <w:r w:rsidRPr="00C16A62">
        <w:rPr>
          <w:i/>
          <w:iCs/>
        </w:rPr>
        <w:t>a</w:t>
      </w:r>
      <w:r>
        <w:rPr>
          <w:i/>
          <w:iCs/>
        </w:rPr>
        <w:t xml:space="preserve"> </w:t>
      </w:r>
      <w:proofErr w:type="spellStart"/>
      <w:r>
        <w:rPr>
          <w:i/>
          <w:iCs/>
        </w:rPr>
        <w:t>vmt</w:t>
      </w:r>
      <w:proofErr w:type="spellEnd"/>
      <w:r>
        <w:rPr>
          <w:i/>
          <w:iCs/>
        </w:rPr>
        <w:t>.</w:t>
      </w:r>
    </w:p>
    <w:p w14:paraId="67BA2C46" w14:textId="4D706508" w:rsidR="00FB7DA8" w:rsidRDefault="00C16A62" w:rsidP="00FB7DA8">
      <w:pPr>
        <w:pStyle w:val="Loendilik"/>
        <w:spacing w:after="0"/>
        <w:ind w:left="360"/>
        <w:jc w:val="both"/>
        <w:rPr>
          <w:i/>
          <w:iCs/>
        </w:rPr>
      </w:pPr>
      <w:r>
        <w:rPr>
          <w:i/>
          <w:iCs/>
        </w:rPr>
        <w:t xml:space="preserve">Kuivõrd detailplaneeringuga ei kavandata eeltoodud kirjeldustele vastavat </w:t>
      </w:r>
      <w:r w:rsidRPr="00C16A62">
        <w:rPr>
          <w:i/>
          <w:iCs/>
        </w:rPr>
        <w:t>olulise avaliku huviga rajatist</w:t>
      </w:r>
      <w:r>
        <w:rPr>
          <w:i/>
          <w:iCs/>
        </w:rPr>
        <w:t xml:space="preserve">, siis ei ole mõistlik ehitusõiguse komponendi nimetuses sellele viidata. Sellest lähtuvalt on planeerimisseaduse § 126 lg 4 p 3 vastav ehitusõiguse komponent antud kontekstis </w:t>
      </w:r>
      <w:r w:rsidRPr="00C16A62">
        <w:rPr>
          <w:i/>
          <w:iCs/>
        </w:rPr>
        <w:t>hoonete suurim lubatud ehitisealune pind</w:t>
      </w:r>
      <w:r>
        <w:rPr>
          <w:i/>
          <w:iCs/>
        </w:rPr>
        <w:t>. Detailplaneeringu põhijoonisel esitatud kruntide kasutamise tingimuste tabelis on see ruumi kokkuhoiu mõttes lühendatud terminiks „Hoonete ehitisealune pind“.</w:t>
      </w:r>
    </w:p>
    <w:p w14:paraId="47101D89" w14:textId="77777777" w:rsidR="00C16A62" w:rsidRDefault="00C16A62" w:rsidP="00FB7DA8">
      <w:pPr>
        <w:pStyle w:val="Loendilik"/>
        <w:spacing w:after="0"/>
        <w:ind w:left="360"/>
        <w:jc w:val="both"/>
      </w:pPr>
    </w:p>
    <w:p w14:paraId="0EFAD807" w14:textId="77777777" w:rsidR="00FB7DA8" w:rsidRDefault="00FB7DA8" w:rsidP="00FB7DA8">
      <w:pPr>
        <w:pStyle w:val="Loendilik"/>
        <w:numPr>
          <w:ilvl w:val="0"/>
          <w:numId w:val="6"/>
        </w:numPr>
        <w:spacing w:after="0"/>
        <w:jc w:val="both"/>
      </w:pPr>
      <w:r>
        <w:t>Seletuskirja punktis 1 toodud standard EVS 921:2014 „Veevarustuse välisvõrk“ on kehtetu.</w:t>
      </w:r>
    </w:p>
    <w:p w14:paraId="27E1D9CD" w14:textId="77CCFEA0" w:rsidR="00C16A62" w:rsidRDefault="00CE10B8" w:rsidP="00C16A62">
      <w:pPr>
        <w:pStyle w:val="Loendilik"/>
        <w:spacing w:after="0"/>
        <w:ind w:left="360"/>
        <w:jc w:val="both"/>
        <w:rPr>
          <w:i/>
          <w:iCs/>
        </w:rPr>
      </w:pPr>
      <w:r>
        <w:rPr>
          <w:i/>
          <w:iCs/>
        </w:rPr>
        <w:t>Vastus</w:t>
      </w:r>
      <w:r w:rsidRPr="00D549E4">
        <w:rPr>
          <w:i/>
          <w:iCs/>
        </w:rPr>
        <w:t>:</w:t>
      </w:r>
      <w:r>
        <w:rPr>
          <w:i/>
          <w:iCs/>
        </w:rPr>
        <w:t xml:space="preserve"> Tähele</w:t>
      </w:r>
      <w:r w:rsidRPr="00494178">
        <w:rPr>
          <w:i/>
          <w:iCs/>
        </w:rPr>
        <w:t xml:space="preserve">panekuga on arvestatud. </w:t>
      </w:r>
      <w:r>
        <w:rPr>
          <w:i/>
          <w:iCs/>
        </w:rPr>
        <w:t xml:space="preserve">Detailplaneeringu seletuskirja peatükis 1 toodud Eesti standardi dokumendi dateeringut on korrigeeritud. </w:t>
      </w:r>
    </w:p>
    <w:p w14:paraId="5C297EC4" w14:textId="77777777" w:rsidR="00CE10B8" w:rsidRDefault="00CE10B8" w:rsidP="00C16A62">
      <w:pPr>
        <w:pStyle w:val="Loendilik"/>
        <w:spacing w:after="0"/>
        <w:ind w:left="360"/>
        <w:jc w:val="both"/>
      </w:pPr>
    </w:p>
    <w:p w14:paraId="0B1BBD53" w14:textId="77777777" w:rsidR="00FB7DA8" w:rsidRDefault="00FB7DA8" w:rsidP="00FB7DA8">
      <w:pPr>
        <w:pStyle w:val="Loendilik"/>
        <w:numPr>
          <w:ilvl w:val="0"/>
          <w:numId w:val="6"/>
        </w:numPr>
        <w:spacing w:after="0"/>
        <w:jc w:val="both"/>
      </w:pPr>
      <w:r>
        <w:lastRenderedPageBreak/>
        <w:t xml:space="preserve">Arutada </w:t>
      </w:r>
      <w:proofErr w:type="spellStart"/>
      <w:r>
        <w:t>DPst</w:t>
      </w:r>
      <w:proofErr w:type="spellEnd"/>
      <w:r>
        <w:t xml:space="preserve"> huvitatud isikuga läbi elektrivarustuse lahendus, kui Tallinna Lennujaam soovib ise ka elektriteenust antud kinnistutel osutada, siis peab see kajastuma ka detailplaneeringus.</w:t>
      </w:r>
    </w:p>
    <w:p w14:paraId="2809906C" w14:textId="01327F8D" w:rsidR="00CE10B8" w:rsidRPr="00FD000E" w:rsidRDefault="00CE10B8" w:rsidP="00CE10B8">
      <w:pPr>
        <w:pStyle w:val="Loendilik"/>
        <w:spacing w:after="0"/>
        <w:ind w:left="360"/>
        <w:jc w:val="both"/>
        <w:rPr>
          <w:i/>
          <w:iCs/>
        </w:rPr>
      </w:pPr>
      <w:r w:rsidRPr="00FD000E">
        <w:rPr>
          <w:i/>
          <w:iCs/>
        </w:rPr>
        <w:t>Vastus:</w:t>
      </w:r>
      <w:r w:rsidR="00FD000E" w:rsidRPr="00FD000E">
        <w:rPr>
          <w:i/>
          <w:iCs/>
        </w:rPr>
        <w:t xml:space="preserve"> Ettepanekuga on arvestatud. Planeeringu elektrivarustuse lahendust on koostöös huvitatud isikuga (AS Tallinna Lennujaam) täiendatud ning välja töötatud alternatiivne lahendus kruntide pos 1-3 elektrivarustuse tagamiseks huvitatud isikule kuuluva elektrivõrgu baasil. Vastavalt sellele on täiendatud detailplaneeringu seletuskirja peatükki 5.2 ning tehnovõrkude koondplaani.</w:t>
      </w:r>
    </w:p>
    <w:p w14:paraId="428A955A" w14:textId="77777777" w:rsidR="00CE10B8" w:rsidRDefault="00CE10B8" w:rsidP="00CE10B8">
      <w:pPr>
        <w:pStyle w:val="Loendilik"/>
        <w:spacing w:after="0"/>
        <w:ind w:left="360"/>
        <w:jc w:val="both"/>
      </w:pPr>
    </w:p>
    <w:p w14:paraId="3C394033" w14:textId="5E840E0C" w:rsidR="00FB7DA8" w:rsidRDefault="00FB7DA8" w:rsidP="00FB7DA8">
      <w:pPr>
        <w:pStyle w:val="Loendilik"/>
        <w:numPr>
          <w:ilvl w:val="0"/>
          <w:numId w:val="6"/>
        </w:numPr>
        <w:spacing w:after="0"/>
        <w:jc w:val="both"/>
      </w:pPr>
      <w:r>
        <w:t>Päikesepaneelide teema peaks olema kajastatud elektrivarustuse all, kuna päikesepaneele kasutatakse üldjuhul elektri tootmiseks, mitte soojavee saamiseks.</w:t>
      </w:r>
    </w:p>
    <w:p w14:paraId="18DBB6B3" w14:textId="52926052" w:rsidR="00CE10B8" w:rsidRPr="00BF2118" w:rsidRDefault="00CE10B8" w:rsidP="00CE10B8">
      <w:pPr>
        <w:pStyle w:val="Loendilik"/>
        <w:spacing w:after="0"/>
        <w:ind w:left="360"/>
        <w:jc w:val="both"/>
      </w:pPr>
      <w:r w:rsidRPr="00A470E8">
        <w:rPr>
          <w:i/>
          <w:iCs/>
        </w:rPr>
        <w:t>Vastus: Ettepanekuga on arvestatud. Detailplaneeringu seletuskirja</w:t>
      </w:r>
      <w:r>
        <w:rPr>
          <w:i/>
          <w:iCs/>
        </w:rPr>
        <w:t xml:space="preserve"> on lisatud peatükk 5.2.1 Roheenergia tootmise võimalused, kuhu on koondatud päikesepaneele puudutav info.</w:t>
      </w:r>
    </w:p>
    <w:sectPr w:rsidR="00CE10B8" w:rsidRPr="00BF2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3FA7"/>
    <w:multiLevelType w:val="hybridMultilevel"/>
    <w:tmpl w:val="B13A972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A6022B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CA2153"/>
    <w:multiLevelType w:val="hybridMultilevel"/>
    <w:tmpl w:val="B13A97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B6F5D57"/>
    <w:multiLevelType w:val="hybridMultilevel"/>
    <w:tmpl w:val="1C2C1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6DCC6AAD"/>
    <w:multiLevelType w:val="hybridMultilevel"/>
    <w:tmpl w:val="7B04C6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0C75510"/>
    <w:multiLevelType w:val="hybridMultilevel"/>
    <w:tmpl w:val="9932C17A"/>
    <w:lvl w:ilvl="0" w:tplc="DC40072E">
      <w:start w:val="1"/>
      <w:numFmt w:val="decimal"/>
      <w:lvlText w:val="%1."/>
      <w:lvlJc w:val="left"/>
      <w:pPr>
        <w:ind w:left="360" w:hanging="360"/>
      </w:pPr>
      <w:rPr>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41055295">
    <w:abstractNumId w:val="4"/>
  </w:num>
  <w:num w:numId="2" w16cid:durableId="1473252852">
    <w:abstractNumId w:val="0"/>
  </w:num>
  <w:num w:numId="3" w16cid:durableId="2091417294">
    <w:abstractNumId w:val="5"/>
  </w:num>
  <w:num w:numId="4" w16cid:durableId="772212858">
    <w:abstractNumId w:val="3"/>
  </w:num>
  <w:num w:numId="5" w16cid:durableId="501361283">
    <w:abstractNumId w:val="2"/>
  </w:num>
  <w:num w:numId="6" w16cid:durableId="70467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88"/>
    <w:rsid w:val="00043E77"/>
    <w:rsid w:val="00060DC7"/>
    <w:rsid w:val="00075C74"/>
    <w:rsid w:val="0008678C"/>
    <w:rsid w:val="000C076C"/>
    <w:rsid w:val="000C4F43"/>
    <w:rsid w:val="000E23D6"/>
    <w:rsid w:val="001333A3"/>
    <w:rsid w:val="00145A55"/>
    <w:rsid w:val="001542EC"/>
    <w:rsid w:val="001B3038"/>
    <w:rsid w:val="001C2FCC"/>
    <w:rsid w:val="00210EA7"/>
    <w:rsid w:val="00224B2A"/>
    <w:rsid w:val="00266C1C"/>
    <w:rsid w:val="002832D2"/>
    <w:rsid w:val="00286BDD"/>
    <w:rsid w:val="002C64CC"/>
    <w:rsid w:val="002D00E0"/>
    <w:rsid w:val="002D605D"/>
    <w:rsid w:val="002F0856"/>
    <w:rsid w:val="00310A2A"/>
    <w:rsid w:val="00322404"/>
    <w:rsid w:val="00351109"/>
    <w:rsid w:val="003A1A4C"/>
    <w:rsid w:val="003C13B9"/>
    <w:rsid w:val="003C1912"/>
    <w:rsid w:val="003E25FA"/>
    <w:rsid w:val="003E3676"/>
    <w:rsid w:val="0042281C"/>
    <w:rsid w:val="00424471"/>
    <w:rsid w:val="004840AB"/>
    <w:rsid w:val="00494178"/>
    <w:rsid w:val="00505520"/>
    <w:rsid w:val="00544931"/>
    <w:rsid w:val="005454FE"/>
    <w:rsid w:val="00582ED0"/>
    <w:rsid w:val="005C2854"/>
    <w:rsid w:val="005C5529"/>
    <w:rsid w:val="005F7573"/>
    <w:rsid w:val="00650886"/>
    <w:rsid w:val="006F46FF"/>
    <w:rsid w:val="0074313C"/>
    <w:rsid w:val="00747893"/>
    <w:rsid w:val="0075380D"/>
    <w:rsid w:val="00774C65"/>
    <w:rsid w:val="0079209A"/>
    <w:rsid w:val="00792921"/>
    <w:rsid w:val="007B09A4"/>
    <w:rsid w:val="007B23BE"/>
    <w:rsid w:val="007D3D26"/>
    <w:rsid w:val="007F4B9E"/>
    <w:rsid w:val="0080783E"/>
    <w:rsid w:val="00862E0F"/>
    <w:rsid w:val="008870E3"/>
    <w:rsid w:val="008A32C3"/>
    <w:rsid w:val="008E2B85"/>
    <w:rsid w:val="00901B45"/>
    <w:rsid w:val="0093011D"/>
    <w:rsid w:val="00930144"/>
    <w:rsid w:val="00940110"/>
    <w:rsid w:val="00941AC5"/>
    <w:rsid w:val="009524BB"/>
    <w:rsid w:val="00972FA2"/>
    <w:rsid w:val="009900D6"/>
    <w:rsid w:val="009A24FF"/>
    <w:rsid w:val="009F6688"/>
    <w:rsid w:val="00A02974"/>
    <w:rsid w:val="00A27BBE"/>
    <w:rsid w:val="00A34F64"/>
    <w:rsid w:val="00A470E8"/>
    <w:rsid w:val="00A47D59"/>
    <w:rsid w:val="00A57CE5"/>
    <w:rsid w:val="00A66713"/>
    <w:rsid w:val="00A76722"/>
    <w:rsid w:val="00A93840"/>
    <w:rsid w:val="00AA1522"/>
    <w:rsid w:val="00B01ED2"/>
    <w:rsid w:val="00B03DFF"/>
    <w:rsid w:val="00B121BA"/>
    <w:rsid w:val="00B12C12"/>
    <w:rsid w:val="00B72C0D"/>
    <w:rsid w:val="00B77FAF"/>
    <w:rsid w:val="00B94533"/>
    <w:rsid w:val="00BD0F88"/>
    <w:rsid w:val="00BE433A"/>
    <w:rsid w:val="00BF2118"/>
    <w:rsid w:val="00C10AB9"/>
    <w:rsid w:val="00C16A62"/>
    <w:rsid w:val="00CA4FE9"/>
    <w:rsid w:val="00CB2C62"/>
    <w:rsid w:val="00CE10B8"/>
    <w:rsid w:val="00CE1774"/>
    <w:rsid w:val="00D00131"/>
    <w:rsid w:val="00D22BA7"/>
    <w:rsid w:val="00D549E4"/>
    <w:rsid w:val="00D72814"/>
    <w:rsid w:val="00DB21C3"/>
    <w:rsid w:val="00DE5EBC"/>
    <w:rsid w:val="00E156B1"/>
    <w:rsid w:val="00E44B76"/>
    <w:rsid w:val="00E46248"/>
    <w:rsid w:val="00E821D4"/>
    <w:rsid w:val="00E85C1A"/>
    <w:rsid w:val="00EB6644"/>
    <w:rsid w:val="00EC1A1D"/>
    <w:rsid w:val="00EE10FB"/>
    <w:rsid w:val="00EF52D5"/>
    <w:rsid w:val="00F062D1"/>
    <w:rsid w:val="00F06459"/>
    <w:rsid w:val="00F11507"/>
    <w:rsid w:val="00F80A08"/>
    <w:rsid w:val="00F94275"/>
    <w:rsid w:val="00F96583"/>
    <w:rsid w:val="00FB3490"/>
    <w:rsid w:val="00FB7DA8"/>
    <w:rsid w:val="00FC7C2F"/>
    <w:rsid w:val="00FD000E"/>
    <w:rsid w:val="00FF4E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CEB"/>
  <w15:chartTrackingRefBased/>
  <w15:docId w15:val="{B17D3100-8A96-49A0-AD9F-9EE0C10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6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9F6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F668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F668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F668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F66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66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66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66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668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9F668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F668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F668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F668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F66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66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66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66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66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66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66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6688"/>
    <w:pPr>
      <w:spacing w:before="160"/>
      <w:jc w:val="center"/>
    </w:pPr>
    <w:rPr>
      <w:i/>
      <w:iCs/>
      <w:color w:val="404040" w:themeColor="text1" w:themeTint="BF"/>
    </w:rPr>
  </w:style>
  <w:style w:type="character" w:customStyle="1" w:styleId="TsitaatMrk">
    <w:name w:val="Tsitaat Märk"/>
    <w:basedOn w:val="Liguvaikefont"/>
    <w:link w:val="Tsitaat"/>
    <w:uiPriority w:val="29"/>
    <w:rsid w:val="009F6688"/>
    <w:rPr>
      <w:i/>
      <w:iCs/>
      <w:color w:val="404040" w:themeColor="text1" w:themeTint="BF"/>
    </w:rPr>
  </w:style>
  <w:style w:type="paragraph" w:styleId="Loendilik">
    <w:name w:val="List Paragraph"/>
    <w:basedOn w:val="Normaallaad"/>
    <w:uiPriority w:val="34"/>
    <w:qFormat/>
    <w:rsid w:val="009F6688"/>
    <w:pPr>
      <w:ind w:left="720"/>
      <w:contextualSpacing/>
    </w:pPr>
  </w:style>
  <w:style w:type="character" w:styleId="Selgeltmrgatavrhutus">
    <w:name w:val="Intense Emphasis"/>
    <w:basedOn w:val="Liguvaikefont"/>
    <w:uiPriority w:val="21"/>
    <w:qFormat/>
    <w:rsid w:val="009F6688"/>
    <w:rPr>
      <w:i/>
      <w:iCs/>
      <w:color w:val="2F5496" w:themeColor="accent1" w:themeShade="BF"/>
    </w:rPr>
  </w:style>
  <w:style w:type="paragraph" w:styleId="Selgeltmrgatavtsitaat">
    <w:name w:val="Intense Quote"/>
    <w:basedOn w:val="Normaallaad"/>
    <w:next w:val="Normaallaad"/>
    <w:link w:val="SelgeltmrgatavtsitaatMrk"/>
    <w:uiPriority w:val="30"/>
    <w:qFormat/>
    <w:rsid w:val="009F6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F6688"/>
    <w:rPr>
      <w:i/>
      <w:iCs/>
      <w:color w:val="2F5496" w:themeColor="accent1" w:themeShade="BF"/>
    </w:rPr>
  </w:style>
  <w:style w:type="character" w:styleId="Selgeltmrgatavviide">
    <w:name w:val="Intense Reference"/>
    <w:basedOn w:val="Liguvaikefont"/>
    <w:uiPriority w:val="32"/>
    <w:qFormat/>
    <w:rsid w:val="009F6688"/>
    <w:rPr>
      <w:b/>
      <w:bCs/>
      <w:smallCaps/>
      <w:color w:val="2F5496" w:themeColor="accent1" w:themeShade="BF"/>
      <w:spacing w:val="5"/>
    </w:rPr>
  </w:style>
  <w:style w:type="character" w:styleId="Hperlink">
    <w:name w:val="Hyperlink"/>
    <w:basedOn w:val="Liguvaikefont"/>
    <w:uiPriority w:val="99"/>
    <w:unhideWhenUsed/>
    <w:rsid w:val="009F6688"/>
    <w:rPr>
      <w:color w:val="0563C1" w:themeColor="hyperlink"/>
      <w:u w:val="single"/>
    </w:rPr>
  </w:style>
  <w:style w:type="character" w:styleId="Lahendamatamainimine">
    <w:name w:val="Unresolved Mention"/>
    <w:basedOn w:val="Liguvaikefont"/>
    <w:uiPriority w:val="99"/>
    <w:semiHidden/>
    <w:unhideWhenUsed/>
    <w:rsid w:val="009F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7373">
      <w:bodyDiv w:val="1"/>
      <w:marLeft w:val="0"/>
      <w:marRight w:val="0"/>
      <w:marTop w:val="0"/>
      <w:marBottom w:val="0"/>
      <w:divBdr>
        <w:top w:val="none" w:sz="0" w:space="0" w:color="auto"/>
        <w:left w:val="none" w:sz="0" w:space="0" w:color="auto"/>
        <w:bottom w:val="none" w:sz="0" w:space="0" w:color="auto"/>
        <w:right w:val="none" w:sz="0" w:space="0" w:color="auto"/>
      </w:divBdr>
    </w:div>
    <w:div w:id="706412783">
      <w:bodyDiv w:val="1"/>
      <w:marLeft w:val="0"/>
      <w:marRight w:val="0"/>
      <w:marTop w:val="0"/>
      <w:marBottom w:val="0"/>
      <w:divBdr>
        <w:top w:val="none" w:sz="0" w:space="0" w:color="auto"/>
        <w:left w:val="none" w:sz="0" w:space="0" w:color="auto"/>
        <w:bottom w:val="none" w:sz="0" w:space="0" w:color="auto"/>
        <w:right w:val="none" w:sz="0" w:space="0" w:color="auto"/>
      </w:divBdr>
    </w:div>
    <w:div w:id="717701954">
      <w:bodyDiv w:val="1"/>
      <w:marLeft w:val="0"/>
      <w:marRight w:val="0"/>
      <w:marTop w:val="0"/>
      <w:marBottom w:val="0"/>
      <w:divBdr>
        <w:top w:val="none" w:sz="0" w:space="0" w:color="auto"/>
        <w:left w:val="none" w:sz="0" w:space="0" w:color="auto"/>
        <w:bottom w:val="none" w:sz="0" w:space="0" w:color="auto"/>
        <w:right w:val="none" w:sz="0" w:space="0" w:color="auto"/>
      </w:divBdr>
    </w:div>
    <w:div w:id="12183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2719</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 | K-Projekt</dc:creator>
  <cp:keywords/>
  <dc:description/>
  <cp:lastModifiedBy>Veiko Rakaselg | K-Projekt</cp:lastModifiedBy>
  <cp:revision>4</cp:revision>
  <dcterms:created xsi:type="dcterms:W3CDTF">2024-10-08T11:19:00Z</dcterms:created>
  <dcterms:modified xsi:type="dcterms:W3CDTF">2024-10-22T10:24:00Z</dcterms:modified>
</cp:coreProperties>
</file>