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letuskir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innistu omanik on suhelnud Rae vallavalitsusega korduvalt paludes luba muuta kinnistu sihtotstarve ärimaast elamumaaks. Kitsendavatel asjaoludel ei ole see siiani olnud võimalik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imase pöördumise vastuskirjas on sätestatud, et *Rae Vallavalitsus nõustub, et olemasolev elukeskkond on Loopera tee piirkonnas aastate jooksul muutunud ja Loopera tee 54 katastriüksuse sihtotstarbe muutmine elamumaaks ei ole välistatud, kui lahendatakse katastriüksuse juurdepääs servituudiga.*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illised on Rae vallavalitsuse poolsed täpsustatud nõuded servituudi seadmiseks ja millises ulatuses, et saaksime teeomanikuga suhelda ja esitada õiged küsimused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rvestades elukeskkonna muudatusetega piirkonnas palume võimalust läbi detailplaneeringu muuta kinnistul maasihtotstarve elamumaak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oodame, et Rae vallavalitsus koostab lähteülesande detailplaneeringu koostamiseks Loopera 54 kinnistul, et sinna rajada ühepereelamu ja üks abihoon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opera 54 asub elamupiirkonnas mis hoonestatud enamjaolt 2 korruseliste üksikelamuteg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runt ise on 2139 m2. Sellele kinnistu ehitusõigus kehtiva detailplaneeringu järgi: TE 15%, 2k, H-9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uurdepääs kinnistule toimub Loopera teelt. Piirkond on varustatud tehnovõrkudeg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ugupidamiseg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adu Kuznet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